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F953" w14:textId="77777777" w:rsidR="009842F2" w:rsidRPr="009842F2" w:rsidRDefault="009842F2" w:rsidP="009842F2">
      <w:pPr>
        <w:jc w:val="center"/>
        <w:rPr>
          <w:b/>
          <w:bCs/>
          <w:sz w:val="28"/>
          <w:szCs w:val="28"/>
          <w:lang w:val="ro-RO"/>
        </w:rPr>
      </w:pPr>
      <w:r w:rsidRPr="009842F2">
        <w:rPr>
          <w:b/>
          <w:bCs/>
          <w:sz w:val="28"/>
          <w:szCs w:val="28"/>
          <w:lang w:val="ro-RO"/>
        </w:rPr>
        <w:t>COMUNICAT DE PRESĂ</w:t>
      </w:r>
    </w:p>
    <w:p w14:paraId="7444691D" w14:textId="2EDCCA34" w:rsidR="009842F2" w:rsidRPr="009842F2" w:rsidRDefault="009842F2" w:rsidP="009842F2">
      <w:pPr>
        <w:jc w:val="center"/>
        <w:rPr>
          <w:b/>
          <w:bCs/>
          <w:sz w:val="28"/>
          <w:szCs w:val="28"/>
          <w:lang w:val="ro-RO"/>
        </w:rPr>
      </w:pPr>
      <w:r w:rsidRPr="009842F2">
        <w:rPr>
          <w:b/>
          <w:bCs/>
          <w:sz w:val="28"/>
          <w:szCs w:val="28"/>
          <w:lang w:val="ro-RO"/>
        </w:rPr>
        <w:t>De ce taxarea excesivă a țigărilor împinge Europa – inclusiv România – spre comerțul ilicit</w:t>
      </w:r>
    </w:p>
    <w:p w14:paraId="5BB442F4" w14:textId="77777777" w:rsidR="009842F2" w:rsidRPr="009842F2" w:rsidRDefault="009842F2" w:rsidP="009842F2">
      <w:pPr>
        <w:jc w:val="both"/>
        <w:rPr>
          <w:b/>
          <w:bCs/>
          <w:lang w:val="ro-RO"/>
        </w:rPr>
      </w:pPr>
    </w:p>
    <w:p w14:paraId="27BA2214" w14:textId="77777777" w:rsidR="009842F2" w:rsidRPr="009842F2" w:rsidRDefault="009842F2" w:rsidP="009842F2">
      <w:pPr>
        <w:jc w:val="both"/>
        <w:rPr>
          <w:lang w:val="ro-RO"/>
        </w:rPr>
      </w:pPr>
      <w:r w:rsidRPr="009842F2">
        <w:rPr>
          <w:lang w:val="ro-RO"/>
        </w:rPr>
        <w:t>Un nou raport publicat de EPICENTER și realizat de Dr. Christopher Snowdon, director al departamentului de Economie a Stilului de Viață din cadrul Institute of Economic Affairs (IEA, Marea Britanie), analizează consecințele negative ale taxării excesive a produselor din tutun în Europa. Raportul demonstrează, cu date empirice solide, că accizele ridicate nu doar că devin o sursă tot mai nesigură de venituri bugetare, ci alimentează și comerțul ilicit, punând presiune pe securitatea publică și favorizând rețelele de criminalitate organizată.</w:t>
      </w:r>
    </w:p>
    <w:p w14:paraId="27C6C12B" w14:textId="2ABA2625" w:rsidR="009842F2" w:rsidRPr="009842F2" w:rsidRDefault="009842F2" w:rsidP="009842F2">
      <w:pPr>
        <w:jc w:val="both"/>
        <w:rPr>
          <w:lang w:val="ro-RO"/>
        </w:rPr>
      </w:pPr>
      <w:r w:rsidRPr="009842F2">
        <w:rPr>
          <w:b/>
          <w:bCs/>
          <w:lang w:val="ro-RO"/>
        </w:rPr>
        <w:t>Accizele prea mari duc la contrabandă, nu la renunțare la fumat</w:t>
      </w:r>
    </w:p>
    <w:p w14:paraId="0EED57D4" w14:textId="77777777" w:rsidR="009842F2" w:rsidRPr="009842F2" w:rsidRDefault="009842F2" w:rsidP="009842F2">
      <w:pPr>
        <w:jc w:val="both"/>
        <w:rPr>
          <w:lang w:val="ro-RO"/>
        </w:rPr>
      </w:pPr>
      <w:r w:rsidRPr="009842F2">
        <w:rPr>
          <w:lang w:val="ro-RO"/>
        </w:rPr>
        <w:t>Studiul arată că între prețul produselor din tutun (puternic influențat de taxe) și consumul de țigări contrafăcute sau de contrabandă există o corelație directă și semnificativă statistic în majoritatea țărilor europene. Deși scopul declarat al acestor accize este reducerea fumatului, realitatea din teren contrazice așteptările: în multe state din Europa de Vest, scăderea vânzărilor legale nu este însoțită de o scădere proporțională a numărului de fumători — ceea ce înseamnă că o parte tot mai mare din consum este satisfăcută prin piața neagră.</w:t>
      </w:r>
    </w:p>
    <w:p w14:paraId="4C6C200C" w14:textId="6E37D04A" w:rsidR="009842F2" w:rsidRPr="009842F2" w:rsidRDefault="009842F2" w:rsidP="009842F2">
      <w:pPr>
        <w:jc w:val="both"/>
        <w:rPr>
          <w:b/>
          <w:bCs/>
          <w:lang w:val="ro-RO"/>
        </w:rPr>
      </w:pPr>
      <w:r w:rsidRPr="009842F2">
        <w:rPr>
          <w:b/>
          <w:bCs/>
          <w:lang w:val="ro-RO"/>
        </w:rPr>
        <w:t>România: un echilibru fragil în fața creșterii accizelor</w:t>
      </w:r>
    </w:p>
    <w:p w14:paraId="4FA225BD" w14:textId="77777777" w:rsidR="009842F2" w:rsidRPr="009842F2" w:rsidRDefault="009842F2" w:rsidP="009842F2">
      <w:pPr>
        <w:jc w:val="both"/>
        <w:rPr>
          <w:lang w:val="ro-RO"/>
        </w:rPr>
      </w:pPr>
      <w:r w:rsidRPr="009842F2">
        <w:rPr>
          <w:lang w:val="ro-RO"/>
        </w:rPr>
        <w:t xml:space="preserve">România este prezentată în raport drept un caz particular. Până în prezent, țara a reușit să reducă considerabil consumul de tutun ilicit: </w:t>
      </w:r>
      <w:r w:rsidRPr="009842F2">
        <w:rPr>
          <w:b/>
          <w:bCs/>
          <w:lang w:val="ro-RO"/>
        </w:rPr>
        <w:t>de la 12% în 2019 la 6% în 2024</w:t>
      </w:r>
      <w:r w:rsidRPr="009842F2">
        <w:rPr>
          <w:lang w:val="ro-RO"/>
        </w:rPr>
        <w:t xml:space="preserve"> (KPMG, 2024). Această evoluție s-a datorat, în mare parte, unui regim fiscal moderat comparativ cu alte state europene. În 2024, acciza pe un pachet de țigări în România era sub 3 euro, față de media UE de 3,90 euro și de peste 7 euro în Franța sau Regatul Unit.</w:t>
      </w:r>
    </w:p>
    <w:p w14:paraId="1A8E963C" w14:textId="77777777" w:rsidR="009842F2" w:rsidRPr="009842F2" w:rsidRDefault="009842F2" w:rsidP="009842F2">
      <w:pPr>
        <w:jc w:val="both"/>
        <w:rPr>
          <w:lang w:val="ro-RO"/>
        </w:rPr>
      </w:pPr>
      <w:r w:rsidRPr="009842F2">
        <w:rPr>
          <w:lang w:val="ro-RO"/>
        </w:rPr>
        <w:t>Însă acest echilibru este pe cale să fie rupt.</w:t>
      </w:r>
    </w:p>
    <w:p w14:paraId="6B2635B7" w14:textId="77777777" w:rsidR="009842F2" w:rsidRPr="009842F2" w:rsidRDefault="009842F2" w:rsidP="009842F2">
      <w:pPr>
        <w:jc w:val="both"/>
        <w:rPr>
          <w:lang w:val="ro-RO"/>
        </w:rPr>
      </w:pPr>
      <w:r w:rsidRPr="009842F2">
        <w:rPr>
          <w:lang w:val="ro-RO"/>
        </w:rPr>
        <w:t xml:space="preserve">În cadrul </w:t>
      </w:r>
      <w:r w:rsidRPr="009842F2">
        <w:rPr>
          <w:b/>
          <w:bCs/>
          <w:lang w:val="ro-RO"/>
        </w:rPr>
        <w:t>noilor măsuri fiscale anunțate de Guvernul României în iulie 2025</w:t>
      </w:r>
      <w:r w:rsidRPr="009842F2">
        <w:rPr>
          <w:lang w:val="ro-RO"/>
        </w:rPr>
        <w:t xml:space="preserve">, accizele la tutun vor fi </w:t>
      </w:r>
      <w:r w:rsidRPr="009842F2">
        <w:rPr>
          <w:b/>
          <w:bCs/>
          <w:lang w:val="ro-RO"/>
        </w:rPr>
        <w:t>majorate cu 10%</w:t>
      </w:r>
      <w:r w:rsidRPr="009842F2">
        <w:rPr>
          <w:lang w:val="ro-RO"/>
        </w:rPr>
        <w:t xml:space="preserve">, ca parte a unui pachet de ajustări ce include și creșterea TVA-ului de la 19% la 21%. În plus, România urmează trendul impus de Comisia Europeană și ar putea aplica o </w:t>
      </w:r>
      <w:r w:rsidRPr="009842F2">
        <w:rPr>
          <w:b/>
          <w:bCs/>
          <w:lang w:val="ro-RO"/>
        </w:rPr>
        <w:t>revizuire a nivelului minim al accizei</w:t>
      </w:r>
      <w:r w:rsidRPr="009842F2">
        <w:rPr>
          <w:lang w:val="ro-RO"/>
        </w:rPr>
        <w:t>, ceea ce va crește semnificativ prețul țigărilor începând din august 2025.</w:t>
      </w:r>
    </w:p>
    <w:p w14:paraId="33E796FB" w14:textId="77777777" w:rsidR="009842F2" w:rsidRPr="009842F2" w:rsidRDefault="009842F2" w:rsidP="009842F2">
      <w:pPr>
        <w:ind w:left="720"/>
        <w:jc w:val="both"/>
        <w:rPr>
          <w:lang w:val="ro-RO"/>
        </w:rPr>
      </w:pPr>
      <w:r w:rsidRPr="009842F2">
        <w:rPr>
          <w:lang w:val="ro-RO"/>
        </w:rPr>
        <w:t>„România riscă să repete greșelile din Europa de Vest, unde prețurile prea mari au dus la explozia contrabandei. Fumătorii nu dispar, doar se orientează spre alte surse – iar aceste surse sunt ilegale și periculoase”, avertizează Dr. Snowdon.</w:t>
      </w:r>
    </w:p>
    <w:p w14:paraId="66D83AF8" w14:textId="78D5691A" w:rsidR="009842F2" w:rsidRPr="009842F2" w:rsidRDefault="009842F2" w:rsidP="009842F2">
      <w:pPr>
        <w:jc w:val="both"/>
        <w:rPr>
          <w:b/>
          <w:bCs/>
          <w:lang w:val="ro-RO"/>
        </w:rPr>
      </w:pPr>
      <w:r w:rsidRPr="009842F2">
        <w:rPr>
          <w:b/>
          <w:bCs/>
          <w:lang w:val="ro-RO"/>
        </w:rPr>
        <w:t>Ce arată datele din raport:</w:t>
      </w:r>
    </w:p>
    <w:p w14:paraId="529CF96A" w14:textId="53222C47" w:rsidR="009842F2" w:rsidRPr="009842F2" w:rsidRDefault="009842F2" w:rsidP="009842F2">
      <w:pPr>
        <w:pStyle w:val="ListParagraph"/>
        <w:numPr>
          <w:ilvl w:val="0"/>
          <w:numId w:val="2"/>
        </w:numPr>
        <w:jc w:val="both"/>
        <w:rPr>
          <w:lang w:val="ro-RO"/>
        </w:rPr>
      </w:pPr>
      <w:r w:rsidRPr="009842F2">
        <w:rPr>
          <w:lang w:val="ro-RO"/>
        </w:rPr>
        <w:t>creștere de 1 euro pe pachet este asociată cu o creștere de 5–12 puncte procentuale a pieței ilicite (Prieger &amp; Kulick, 2018);</w:t>
      </w:r>
    </w:p>
    <w:p w14:paraId="43F96D4D" w14:textId="1B3791E6" w:rsidR="009842F2" w:rsidRPr="009842F2" w:rsidRDefault="009842F2" w:rsidP="009842F2">
      <w:pPr>
        <w:pStyle w:val="ListParagraph"/>
        <w:numPr>
          <w:ilvl w:val="0"/>
          <w:numId w:val="1"/>
        </w:numPr>
        <w:jc w:val="both"/>
        <w:rPr>
          <w:lang w:val="ro-RO"/>
        </w:rPr>
      </w:pPr>
      <w:r w:rsidRPr="009842F2">
        <w:rPr>
          <w:lang w:val="ro-RO"/>
        </w:rPr>
        <w:t>Țările cu prețuri mai scăzute, precum România, Bulgaria și Slovacia, au în prezent niveluri mai reduse de consum ilicit, dar o creștere bruscă a accizelor ar putea inversa rapid această tendință;</w:t>
      </w:r>
    </w:p>
    <w:p w14:paraId="52E2FD43" w14:textId="77777777" w:rsidR="009842F2" w:rsidRPr="009842F2" w:rsidRDefault="009842F2" w:rsidP="009842F2">
      <w:pPr>
        <w:pStyle w:val="ListParagraph"/>
        <w:numPr>
          <w:ilvl w:val="0"/>
          <w:numId w:val="1"/>
        </w:numPr>
        <w:jc w:val="both"/>
        <w:rPr>
          <w:lang w:val="ro-RO"/>
        </w:rPr>
      </w:pPr>
      <w:r w:rsidRPr="009842F2">
        <w:rPr>
          <w:lang w:val="ro-RO"/>
        </w:rPr>
        <w:t>În Regatul Unit, între 2021 și 2024, vânzările de țigări accizate au scăzut cu 44,4%, dar rata fumătorilor s-a redus cu doar 0,5 puncte procentuale, semnal clar că piața neagră a explodat;</w:t>
      </w:r>
    </w:p>
    <w:p w14:paraId="691AC875" w14:textId="77777777" w:rsidR="009842F2" w:rsidRPr="009842F2" w:rsidRDefault="009842F2" w:rsidP="009842F2">
      <w:pPr>
        <w:jc w:val="both"/>
        <w:rPr>
          <w:lang w:val="ro-RO"/>
        </w:rPr>
      </w:pPr>
    </w:p>
    <w:p w14:paraId="7D588CE0" w14:textId="2BF6195B" w:rsidR="009842F2" w:rsidRPr="009842F2" w:rsidRDefault="009842F2" w:rsidP="009842F2">
      <w:pPr>
        <w:pStyle w:val="ListParagraph"/>
        <w:numPr>
          <w:ilvl w:val="0"/>
          <w:numId w:val="1"/>
        </w:numPr>
        <w:jc w:val="both"/>
        <w:rPr>
          <w:lang w:val="ro-RO"/>
        </w:rPr>
      </w:pPr>
      <w:r w:rsidRPr="009842F2">
        <w:rPr>
          <w:lang w:val="ro-RO"/>
        </w:rPr>
        <w:lastRenderedPageBreak/>
        <w:t>În Franța, Grecia și Irlanda, piața produselor ilicite a crescut cu până la 400% în ultimul deceniu;</w:t>
      </w:r>
    </w:p>
    <w:p w14:paraId="563621E8" w14:textId="492170B9" w:rsidR="009842F2" w:rsidRPr="009842F2" w:rsidRDefault="009842F2" w:rsidP="009842F2">
      <w:pPr>
        <w:pStyle w:val="ListParagraph"/>
        <w:numPr>
          <w:ilvl w:val="0"/>
          <w:numId w:val="1"/>
        </w:numPr>
        <w:jc w:val="both"/>
        <w:rPr>
          <w:lang w:val="ro-RO"/>
        </w:rPr>
      </w:pPr>
      <w:r w:rsidRPr="009842F2">
        <w:rPr>
          <w:lang w:val="ro-RO"/>
        </w:rPr>
        <w:t>Studiile nu susțin teza că corupția ar fi determinantul principal al pieței ilicite – dimpotrivă, prețul și accesibilitatea sunt factorii dominanți.</w:t>
      </w:r>
    </w:p>
    <w:p w14:paraId="401F2CE3" w14:textId="50BB58F9" w:rsidR="009842F2" w:rsidRPr="009842F2" w:rsidRDefault="009842F2" w:rsidP="009842F2">
      <w:pPr>
        <w:jc w:val="both"/>
        <w:rPr>
          <w:b/>
          <w:bCs/>
          <w:lang w:val="ro-RO"/>
        </w:rPr>
      </w:pPr>
      <w:r w:rsidRPr="009842F2">
        <w:rPr>
          <w:b/>
          <w:bCs/>
          <w:lang w:val="ro-RO"/>
        </w:rPr>
        <w:t>Un risc de securitate, nu doar o problemă fiscală</w:t>
      </w:r>
    </w:p>
    <w:p w14:paraId="3D51D6D4" w14:textId="77777777" w:rsidR="009842F2" w:rsidRPr="009842F2" w:rsidRDefault="009842F2" w:rsidP="009842F2">
      <w:pPr>
        <w:jc w:val="both"/>
        <w:rPr>
          <w:lang w:val="ro-RO"/>
        </w:rPr>
      </w:pPr>
      <w:r w:rsidRPr="009842F2">
        <w:rPr>
          <w:lang w:val="ro-RO"/>
        </w:rPr>
        <w:t>Raportul avertizează că taxarea excesivă riscă să ducă nu doar la pierderi bugetare, ci și la escaladarea criminalității. În Australia, politicile similare au generat un adevărat „război al tutunului”, cu peste 200 de tutungerii incendiate și mai multe victime.</w:t>
      </w:r>
    </w:p>
    <w:p w14:paraId="07AB5E5B" w14:textId="77777777" w:rsidR="009842F2" w:rsidRPr="009842F2" w:rsidRDefault="009842F2" w:rsidP="009842F2">
      <w:pPr>
        <w:jc w:val="both"/>
        <w:rPr>
          <w:lang w:val="ro-RO"/>
        </w:rPr>
      </w:pPr>
      <w:r w:rsidRPr="009842F2">
        <w:rPr>
          <w:lang w:val="ro-RO"/>
        </w:rPr>
        <w:t>Europa nu a ajuns încă în acel punct, dar autoritățile trebuie să învețe din aceste greșeli. „</w:t>
      </w:r>
      <w:r w:rsidRPr="009842F2">
        <w:rPr>
          <w:b/>
          <w:bCs/>
          <w:lang w:val="ro-RO"/>
        </w:rPr>
        <w:t>Politicile fiscale prost calibrate nu reduc fumatul — ci mută vânzările din zona legală în mâinile infractorilor</w:t>
      </w:r>
      <w:r w:rsidRPr="009842F2">
        <w:rPr>
          <w:lang w:val="ro-RO"/>
        </w:rPr>
        <w:t>”, conchide autorul.</w:t>
      </w:r>
    </w:p>
    <w:p w14:paraId="00203DE3" w14:textId="77777777" w:rsidR="00CE441A" w:rsidRPr="009842F2" w:rsidRDefault="00CE441A" w:rsidP="009842F2">
      <w:pPr>
        <w:jc w:val="both"/>
        <w:rPr>
          <w:lang w:val="ro-RO"/>
        </w:rPr>
      </w:pPr>
    </w:p>
    <w:p w14:paraId="6E9F259E" w14:textId="77777777" w:rsidR="009842F2" w:rsidRPr="009842F2" w:rsidRDefault="009842F2" w:rsidP="009842F2">
      <w:pPr>
        <w:jc w:val="both"/>
        <w:rPr>
          <w:b/>
          <w:bCs/>
          <w:lang w:val="ro-RO"/>
        </w:rPr>
      </w:pPr>
      <w:r w:rsidRPr="009842F2">
        <w:rPr>
          <w:b/>
          <w:bCs/>
          <w:lang w:val="ro-RO"/>
        </w:rPr>
        <w:t>Despre autor</w:t>
      </w:r>
    </w:p>
    <w:p w14:paraId="6A731F7F" w14:textId="77777777" w:rsidR="009842F2" w:rsidRPr="009842F2" w:rsidRDefault="009842F2" w:rsidP="009842F2">
      <w:pPr>
        <w:jc w:val="both"/>
        <w:rPr>
          <w:lang w:val="ro-RO"/>
        </w:rPr>
      </w:pPr>
      <w:r w:rsidRPr="009842F2">
        <w:rPr>
          <w:b/>
          <w:bCs/>
          <w:lang w:val="ro-RO"/>
        </w:rPr>
        <w:t>Dr. Christopher Snowdon</w:t>
      </w:r>
      <w:r w:rsidRPr="009842F2">
        <w:rPr>
          <w:lang w:val="ro-RO"/>
        </w:rPr>
        <w:t xml:space="preserve"> este Director al departamentului de Economie a Stilului de Viață la </w:t>
      </w:r>
      <w:r w:rsidRPr="009842F2">
        <w:rPr>
          <w:b/>
          <w:bCs/>
          <w:lang w:val="ro-RO"/>
        </w:rPr>
        <w:t>Institute of Economic Affairs</w:t>
      </w:r>
      <w:r w:rsidRPr="009842F2">
        <w:rPr>
          <w:lang w:val="ro-RO"/>
        </w:rPr>
        <w:t xml:space="preserve"> (IEA) din Londra. Este autorul mai multor volume despre reglementare, politici publice și stil de viață și editorul </w:t>
      </w:r>
      <w:r w:rsidRPr="009842F2">
        <w:rPr>
          <w:i/>
          <w:iCs/>
          <w:lang w:val="ro-RO"/>
        </w:rPr>
        <w:t>Nanny State Index</w:t>
      </w:r>
      <w:r w:rsidRPr="009842F2">
        <w:rPr>
          <w:lang w:val="ro-RO"/>
        </w:rPr>
        <w:t>, care monitorizează politicile de restricționare a consumului în Europa.</w:t>
      </w:r>
    </w:p>
    <w:p w14:paraId="5D8C4A24" w14:textId="690BCCFA" w:rsidR="009842F2" w:rsidRPr="009842F2" w:rsidRDefault="009842F2" w:rsidP="009842F2">
      <w:pPr>
        <w:jc w:val="both"/>
        <w:rPr>
          <w:lang w:val="ro-RO"/>
        </w:rPr>
      </w:pPr>
      <w:r w:rsidRPr="009842F2">
        <w:rPr>
          <w:lang w:val="ro-RO"/>
        </w:rPr>
        <w:t>Contact: csnowdon@iea.org.uk</w:t>
      </w:r>
    </w:p>
    <w:p w14:paraId="4C12C4E9" w14:textId="77777777" w:rsidR="009842F2" w:rsidRPr="009842F2" w:rsidRDefault="009842F2" w:rsidP="009842F2">
      <w:pPr>
        <w:jc w:val="both"/>
        <w:rPr>
          <w:lang w:val="ro-RO"/>
        </w:rPr>
      </w:pPr>
    </w:p>
    <w:sectPr w:rsidR="009842F2" w:rsidRPr="009842F2" w:rsidSect="009842F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07425"/>
    <w:multiLevelType w:val="hybridMultilevel"/>
    <w:tmpl w:val="DE8C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05BF9"/>
    <w:multiLevelType w:val="hybridMultilevel"/>
    <w:tmpl w:val="AD96FDA6"/>
    <w:lvl w:ilvl="0" w:tplc="34029C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357446">
    <w:abstractNumId w:val="0"/>
  </w:num>
  <w:num w:numId="2" w16cid:durableId="1005977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F2"/>
    <w:rsid w:val="009842F2"/>
    <w:rsid w:val="00CE441A"/>
    <w:rsid w:val="00E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D08D"/>
  <w15:chartTrackingRefBased/>
  <w15:docId w15:val="{F23DD8CA-241D-4419-8EF5-8C72D29A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2F2"/>
    <w:rPr>
      <w:rFonts w:eastAsiaTheme="majorEastAsia" w:cstheme="majorBidi"/>
      <w:color w:val="272727" w:themeColor="text1" w:themeTint="D8"/>
    </w:rPr>
  </w:style>
  <w:style w:type="paragraph" w:styleId="Title">
    <w:name w:val="Title"/>
    <w:basedOn w:val="Normal"/>
    <w:next w:val="Normal"/>
    <w:link w:val="TitleChar"/>
    <w:uiPriority w:val="10"/>
    <w:qFormat/>
    <w:rsid w:val="00984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2F2"/>
    <w:pPr>
      <w:spacing w:before="160"/>
      <w:jc w:val="center"/>
    </w:pPr>
    <w:rPr>
      <w:i/>
      <w:iCs/>
      <w:color w:val="404040" w:themeColor="text1" w:themeTint="BF"/>
    </w:rPr>
  </w:style>
  <w:style w:type="character" w:customStyle="1" w:styleId="QuoteChar">
    <w:name w:val="Quote Char"/>
    <w:basedOn w:val="DefaultParagraphFont"/>
    <w:link w:val="Quote"/>
    <w:uiPriority w:val="29"/>
    <w:rsid w:val="009842F2"/>
    <w:rPr>
      <w:i/>
      <w:iCs/>
      <w:color w:val="404040" w:themeColor="text1" w:themeTint="BF"/>
    </w:rPr>
  </w:style>
  <w:style w:type="paragraph" w:styleId="ListParagraph">
    <w:name w:val="List Paragraph"/>
    <w:basedOn w:val="Normal"/>
    <w:uiPriority w:val="34"/>
    <w:qFormat/>
    <w:rsid w:val="009842F2"/>
    <w:pPr>
      <w:ind w:left="720"/>
      <w:contextualSpacing/>
    </w:pPr>
  </w:style>
  <w:style w:type="character" w:styleId="IntenseEmphasis">
    <w:name w:val="Intense Emphasis"/>
    <w:basedOn w:val="DefaultParagraphFont"/>
    <w:uiPriority w:val="21"/>
    <w:qFormat/>
    <w:rsid w:val="009842F2"/>
    <w:rPr>
      <w:i/>
      <w:iCs/>
      <w:color w:val="2F5496" w:themeColor="accent1" w:themeShade="BF"/>
    </w:rPr>
  </w:style>
  <w:style w:type="paragraph" w:styleId="IntenseQuote">
    <w:name w:val="Intense Quote"/>
    <w:basedOn w:val="Normal"/>
    <w:next w:val="Normal"/>
    <w:link w:val="IntenseQuoteChar"/>
    <w:uiPriority w:val="30"/>
    <w:qFormat/>
    <w:rsid w:val="00984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2F2"/>
    <w:rPr>
      <w:i/>
      <w:iCs/>
      <w:color w:val="2F5496" w:themeColor="accent1" w:themeShade="BF"/>
    </w:rPr>
  </w:style>
  <w:style w:type="character" w:styleId="IntenseReference">
    <w:name w:val="Intense Reference"/>
    <w:basedOn w:val="DefaultParagraphFont"/>
    <w:uiPriority w:val="32"/>
    <w:qFormat/>
    <w:rsid w:val="00984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6745">
      <w:bodyDiv w:val="1"/>
      <w:marLeft w:val="0"/>
      <w:marRight w:val="0"/>
      <w:marTop w:val="0"/>
      <w:marBottom w:val="0"/>
      <w:divBdr>
        <w:top w:val="none" w:sz="0" w:space="0" w:color="auto"/>
        <w:left w:val="none" w:sz="0" w:space="0" w:color="auto"/>
        <w:bottom w:val="none" w:sz="0" w:space="0" w:color="auto"/>
        <w:right w:val="none" w:sz="0" w:space="0" w:color="auto"/>
      </w:divBdr>
    </w:div>
    <w:div w:id="243344611">
      <w:bodyDiv w:val="1"/>
      <w:marLeft w:val="0"/>
      <w:marRight w:val="0"/>
      <w:marTop w:val="0"/>
      <w:marBottom w:val="0"/>
      <w:divBdr>
        <w:top w:val="none" w:sz="0" w:space="0" w:color="auto"/>
        <w:left w:val="none" w:sz="0" w:space="0" w:color="auto"/>
        <w:bottom w:val="none" w:sz="0" w:space="0" w:color="auto"/>
        <w:right w:val="none" w:sz="0" w:space="0" w:color="auto"/>
      </w:divBdr>
    </w:div>
    <w:div w:id="467090683">
      <w:bodyDiv w:val="1"/>
      <w:marLeft w:val="0"/>
      <w:marRight w:val="0"/>
      <w:marTop w:val="0"/>
      <w:marBottom w:val="0"/>
      <w:divBdr>
        <w:top w:val="none" w:sz="0" w:space="0" w:color="auto"/>
        <w:left w:val="none" w:sz="0" w:space="0" w:color="auto"/>
        <w:bottom w:val="none" w:sz="0" w:space="0" w:color="auto"/>
        <w:right w:val="none" w:sz="0" w:space="0" w:color="auto"/>
      </w:divBdr>
      <w:divsChild>
        <w:div w:id="174548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004758">
      <w:bodyDiv w:val="1"/>
      <w:marLeft w:val="0"/>
      <w:marRight w:val="0"/>
      <w:marTop w:val="0"/>
      <w:marBottom w:val="0"/>
      <w:divBdr>
        <w:top w:val="none" w:sz="0" w:space="0" w:color="auto"/>
        <w:left w:val="none" w:sz="0" w:space="0" w:color="auto"/>
        <w:bottom w:val="none" w:sz="0" w:space="0" w:color="auto"/>
        <w:right w:val="none" w:sz="0" w:space="0" w:color="auto"/>
      </w:divBdr>
    </w:div>
    <w:div w:id="1240406461">
      <w:bodyDiv w:val="1"/>
      <w:marLeft w:val="0"/>
      <w:marRight w:val="0"/>
      <w:marTop w:val="0"/>
      <w:marBottom w:val="0"/>
      <w:divBdr>
        <w:top w:val="none" w:sz="0" w:space="0" w:color="auto"/>
        <w:left w:val="none" w:sz="0" w:space="0" w:color="auto"/>
        <w:bottom w:val="none" w:sz="0" w:space="0" w:color="auto"/>
        <w:right w:val="none" w:sz="0" w:space="0" w:color="auto"/>
      </w:divBdr>
    </w:div>
    <w:div w:id="1414471307">
      <w:bodyDiv w:val="1"/>
      <w:marLeft w:val="0"/>
      <w:marRight w:val="0"/>
      <w:marTop w:val="0"/>
      <w:marBottom w:val="0"/>
      <w:divBdr>
        <w:top w:val="none" w:sz="0" w:space="0" w:color="auto"/>
        <w:left w:val="none" w:sz="0" w:space="0" w:color="auto"/>
        <w:bottom w:val="none" w:sz="0" w:space="0" w:color="auto"/>
        <w:right w:val="none" w:sz="0" w:space="0" w:color="auto"/>
      </w:divBdr>
    </w:div>
    <w:div w:id="1593202926">
      <w:bodyDiv w:val="1"/>
      <w:marLeft w:val="0"/>
      <w:marRight w:val="0"/>
      <w:marTop w:val="0"/>
      <w:marBottom w:val="0"/>
      <w:divBdr>
        <w:top w:val="none" w:sz="0" w:space="0" w:color="auto"/>
        <w:left w:val="none" w:sz="0" w:space="0" w:color="auto"/>
        <w:bottom w:val="none" w:sz="0" w:space="0" w:color="auto"/>
        <w:right w:val="none" w:sz="0" w:space="0" w:color="auto"/>
      </w:divBdr>
    </w:div>
    <w:div w:id="1601835606">
      <w:bodyDiv w:val="1"/>
      <w:marLeft w:val="0"/>
      <w:marRight w:val="0"/>
      <w:marTop w:val="0"/>
      <w:marBottom w:val="0"/>
      <w:divBdr>
        <w:top w:val="none" w:sz="0" w:space="0" w:color="auto"/>
        <w:left w:val="none" w:sz="0" w:space="0" w:color="auto"/>
        <w:bottom w:val="none" w:sz="0" w:space="0" w:color="auto"/>
        <w:right w:val="none" w:sz="0" w:space="0" w:color="auto"/>
      </w:divBdr>
    </w:div>
    <w:div w:id="1625502302">
      <w:bodyDiv w:val="1"/>
      <w:marLeft w:val="0"/>
      <w:marRight w:val="0"/>
      <w:marTop w:val="0"/>
      <w:marBottom w:val="0"/>
      <w:divBdr>
        <w:top w:val="none" w:sz="0" w:space="0" w:color="auto"/>
        <w:left w:val="none" w:sz="0" w:space="0" w:color="auto"/>
        <w:bottom w:val="none" w:sz="0" w:space="0" w:color="auto"/>
        <w:right w:val="none" w:sz="0" w:space="0" w:color="auto"/>
      </w:divBdr>
    </w:div>
    <w:div w:id="1847859708">
      <w:bodyDiv w:val="1"/>
      <w:marLeft w:val="0"/>
      <w:marRight w:val="0"/>
      <w:marTop w:val="0"/>
      <w:marBottom w:val="0"/>
      <w:divBdr>
        <w:top w:val="none" w:sz="0" w:space="0" w:color="auto"/>
        <w:left w:val="none" w:sz="0" w:space="0" w:color="auto"/>
        <w:bottom w:val="none" w:sz="0" w:space="0" w:color="auto"/>
        <w:right w:val="none" w:sz="0" w:space="0" w:color="auto"/>
      </w:divBdr>
    </w:div>
    <w:div w:id="1957104577">
      <w:bodyDiv w:val="1"/>
      <w:marLeft w:val="0"/>
      <w:marRight w:val="0"/>
      <w:marTop w:val="0"/>
      <w:marBottom w:val="0"/>
      <w:divBdr>
        <w:top w:val="none" w:sz="0" w:space="0" w:color="auto"/>
        <w:left w:val="none" w:sz="0" w:space="0" w:color="auto"/>
        <w:bottom w:val="none" w:sz="0" w:space="0" w:color="auto"/>
        <w:right w:val="none" w:sz="0" w:space="0" w:color="auto"/>
      </w:divBdr>
    </w:div>
    <w:div w:id="1965770784">
      <w:bodyDiv w:val="1"/>
      <w:marLeft w:val="0"/>
      <w:marRight w:val="0"/>
      <w:marTop w:val="0"/>
      <w:marBottom w:val="0"/>
      <w:divBdr>
        <w:top w:val="none" w:sz="0" w:space="0" w:color="auto"/>
        <w:left w:val="none" w:sz="0" w:space="0" w:color="auto"/>
        <w:bottom w:val="none" w:sz="0" w:space="0" w:color="auto"/>
        <w:right w:val="none" w:sz="0" w:space="0" w:color="auto"/>
      </w:divBdr>
      <w:divsChild>
        <w:div w:id="179058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3539</Characters>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2025-07-24T13:36:00Z</dcterms:created>
  <dcterms:modified xsi:type="dcterms:W3CDTF">2025-07-24T13:44:00Z</dcterms:modified>
</cp:coreProperties>
</file>